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5F" w:rsidRPr="00FF5D5F" w:rsidRDefault="00FF5D5F" w:rsidP="00FF5D5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es-CO"/>
        </w:rPr>
      </w:pPr>
    </w:p>
    <w:p w:rsidR="00FF5D5F" w:rsidRPr="00FF5D5F" w:rsidRDefault="00FF5D5F" w:rsidP="00FF5D5F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OFICIO Nº 009164</w:t>
      </w:r>
    </w:p>
    <w:p w:rsidR="00FF5D5F" w:rsidRPr="00FF5D5F" w:rsidRDefault="00FF5D5F" w:rsidP="00FF5D5F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26-03-2015</w:t>
      </w:r>
    </w:p>
    <w:p w:rsidR="00FF5D5F" w:rsidRPr="00FF5D5F" w:rsidRDefault="00FF5D5F" w:rsidP="00FF5D5F">
      <w:pPr>
        <w:spacing w:after="0"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Bogotá, D.C.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100208221- 000412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proofErr w:type="spellStart"/>
      <w:r w:rsidRPr="00FF5D5F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FF5D5F">
        <w:rPr>
          <w:rFonts w:eastAsia="Times New Roman" w:cs="Times New Roman"/>
          <w:b/>
          <w:bCs/>
          <w:szCs w:val="24"/>
          <w:lang w:eastAsia="es-CO"/>
        </w:rPr>
        <w:t>: </w:t>
      </w:r>
      <w:r w:rsidRPr="00FF5D5F">
        <w:rPr>
          <w:rFonts w:eastAsia="Times New Roman" w:cs="Times New Roman"/>
          <w:szCs w:val="24"/>
          <w:lang w:eastAsia="es-CO"/>
        </w:rPr>
        <w:t>Radicado 100003281 del 10/02/2015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Tema </w:t>
      </w:r>
      <w:r w:rsidRPr="00FF5D5F">
        <w:rPr>
          <w:rFonts w:eastAsia="Times New Roman" w:cs="Times New Roman"/>
          <w:szCs w:val="24"/>
          <w:lang w:eastAsia="es-CO"/>
        </w:rPr>
        <w:t>Impuesto a la riqueza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FF5D5F">
        <w:rPr>
          <w:rFonts w:eastAsia="Times New Roman" w:cs="Times New Roman"/>
          <w:szCs w:val="24"/>
          <w:lang w:eastAsia="es-CO"/>
        </w:rPr>
        <w:t>Sujetos pasivos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Fuentes formales </w:t>
      </w:r>
      <w:r w:rsidRPr="00FF5D5F">
        <w:rPr>
          <w:rFonts w:eastAsia="Times New Roman" w:cs="Times New Roman"/>
          <w:szCs w:val="24"/>
          <w:lang w:eastAsia="es-CO"/>
        </w:rPr>
        <w:t>Estatuto Tributario, artículos </w:t>
      </w:r>
      <w:hyperlink r:id="rId4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292-2</w:t>
        </w:r>
      </w:hyperlink>
      <w:r w:rsidRPr="00FF5D5F">
        <w:rPr>
          <w:rFonts w:eastAsia="Times New Roman" w:cs="Times New Roman"/>
          <w:szCs w:val="24"/>
          <w:lang w:eastAsia="es-CO"/>
        </w:rPr>
        <w:t>, </w:t>
      </w:r>
      <w:hyperlink r:id="rId5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293-2</w:t>
        </w:r>
      </w:hyperlink>
      <w:r w:rsidRPr="00FF5D5F">
        <w:rPr>
          <w:rFonts w:eastAsia="Times New Roman" w:cs="Times New Roman"/>
          <w:szCs w:val="24"/>
          <w:lang w:eastAsia="es-CO"/>
        </w:rPr>
        <w:t> y </w:t>
      </w:r>
      <w:hyperlink r:id="rId6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294-2</w:t>
        </w:r>
      </w:hyperlink>
      <w:r w:rsidRPr="00FF5D5F">
        <w:rPr>
          <w:rFonts w:eastAsia="Times New Roman" w:cs="Times New Roman"/>
          <w:szCs w:val="24"/>
          <w:lang w:eastAsia="es-CO"/>
        </w:rPr>
        <w:t>; Ley 1739 de 2014, artículos 1, 2 y 3.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De conformidad con el artículo 20 del Decreto 4048 de 2008, es función de esta Subdirección absolver las consultas escritas que se formulen sobre la interpretación y aplicación de las normas tributarias de carácter nacional, aduaneras y cambiarias en lo de competencia de la Entidad, ámbito dentro del cual será atendida su petición.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892792" w:rsidRDefault="00FF5D5F" w:rsidP="00FF5D5F">
      <w:pPr>
        <w:spacing w:after="0" w:line="240" w:lineRule="auto"/>
        <w:jc w:val="both"/>
        <w:rPr>
          <w:rFonts w:eastAsia="Times New Roman" w:cs="Times New Roman"/>
          <w:b/>
          <w:szCs w:val="24"/>
          <w:lang w:eastAsia="es-CO"/>
        </w:rPr>
      </w:pPr>
      <w:r w:rsidRPr="00892792">
        <w:rPr>
          <w:rFonts w:eastAsia="Times New Roman" w:cs="Times New Roman"/>
          <w:b/>
          <w:szCs w:val="24"/>
          <w:lang w:eastAsia="es-CO"/>
        </w:rPr>
        <w:t>Consulta si es responsable o declarante del impuesto a la riqueza una sociedad extranjera que a 1º de enero de 2015, únicamente tiene inversiones en una sociedad colombiana por valor de cinco mil millones de pesos.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  <w:bookmarkStart w:id="0" w:name="_GoBack"/>
      <w:bookmarkEnd w:id="0"/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Sobre el particular se considera: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El artículo 1º de la Ley 1739 de 2014, por el cual se adicionó el </w:t>
      </w:r>
      <w:hyperlink r:id="rId7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artículo 292-2</w:t>
        </w:r>
      </w:hyperlink>
      <w:r w:rsidRPr="00FF5D5F">
        <w:rPr>
          <w:rFonts w:eastAsia="Times New Roman" w:cs="Times New Roman"/>
          <w:szCs w:val="24"/>
          <w:lang w:eastAsia="es-CO"/>
        </w:rPr>
        <w:t> del Estatuto Tributario, creó el impuesto extraordinario a la riqueza, señalando como sujetos pasivos del mismo, entre otros, los siguientes: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“</w:t>
      </w:r>
      <w:hyperlink r:id="rId8" w:tooltip="Estatuto Tributario CETA" w:history="1">
        <w:r w:rsidRPr="00FF5D5F">
          <w:rPr>
            <w:rFonts w:eastAsia="Times New Roman" w:cs="Times New Roman"/>
            <w:b/>
            <w:bCs/>
            <w:i/>
            <w:iCs/>
            <w:szCs w:val="24"/>
            <w:lang w:eastAsia="es-CO"/>
          </w:rPr>
          <w:t>Artículo 292-2</w:t>
        </w:r>
      </w:hyperlink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. Impuesto a la Riqueza – Sujetos Pasivos. </w:t>
      </w:r>
      <w:r w:rsidRPr="00FF5D5F">
        <w:rPr>
          <w:rFonts w:eastAsia="Times New Roman" w:cs="Times New Roman"/>
          <w:i/>
          <w:iCs/>
          <w:szCs w:val="24"/>
          <w:lang w:eastAsia="es-CO"/>
        </w:rPr>
        <w:t>Por los años 2015, 2016, 2017 y 2018, créase un impuesto extraordinario denominado el Impuesto a la Riqueza a cargo de: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… 4. Las sociedades y entidades extranjeras respecto de su riqueza poseída directamente en el país, salvo las excepciones previstas en los tratados internacionales y en el derecho interno.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5. Las sociedades y entidades extranjeras respecto de su riqueza poseída indirectamente a través de sucursales o establecimientos permanentes en el país, salvo las excepciones previstas en los tratados internacionales y en el derecho interno.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 xml:space="preserve">… PARÁGRAFO 1o. Para el caso de los contribuyentes del impuesto a la riqueza señalados en el numeral 3 y 5 del presente artículo, el deber formal de declarar estará en cabeza de la sucursal o del establecimiento permanente, según sea el </w:t>
      </w:r>
      <w:proofErr w:type="gramStart"/>
      <w:r w:rsidRPr="00FF5D5F">
        <w:rPr>
          <w:rFonts w:eastAsia="Times New Roman" w:cs="Times New Roman"/>
          <w:i/>
          <w:iCs/>
          <w:szCs w:val="24"/>
          <w:lang w:eastAsia="es-CO"/>
        </w:rPr>
        <w:t>caso …</w:t>
      </w:r>
      <w:proofErr w:type="gramEnd"/>
      <w:r w:rsidRPr="00FF5D5F">
        <w:rPr>
          <w:rFonts w:eastAsia="Times New Roman" w:cs="Times New Roman"/>
          <w:i/>
          <w:iCs/>
          <w:szCs w:val="24"/>
          <w:lang w:eastAsia="es-CO"/>
        </w:rPr>
        <w:t>”.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El artículo 2º de la mencionada Ley 1739, adicionó el </w:t>
      </w:r>
      <w:hyperlink r:id="rId9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artículo 293-2</w:t>
        </w:r>
      </w:hyperlink>
      <w:r w:rsidRPr="00FF5D5F">
        <w:rPr>
          <w:rFonts w:eastAsia="Times New Roman" w:cs="Times New Roman"/>
          <w:szCs w:val="24"/>
          <w:lang w:eastAsia="es-CO"/>
        </w:rPr>
        <w:t> al Estatuto Tributario señalando los sujetos no sometidos al impuesto a la riqueza en los siguientes términos: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“</w:t>
      </w:r>
      <w:hyperlink r:id="rId10" w:tooltip="Estatuto Tributario CETA" w:history="1">
        <w:r w:rsidRPr="00FF5D5F">
          <w:rPr>
            <w:rFonts w:eastAsia="Times New Roman" w:cs="Times New Roman"/>
            <w:b/>
            <w:bCs/>
            <w:i/>
            <w:iCs/>
            <w:szCs w:val="24"/>
            <w:lang w:eastAsia="es-CO"/>
          </w:rPr>
          <w:t>Artículo 293-2</w:t>
        </w:r>
      </w:hyperlink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. No Contribuyentes del Impuesto a la Riqueza. </w:t>
      </w:r>
      <w:r w:rsidRPr="00FF5D5F">
        <w:rPr>
          <w:rFonts w:eastAsia="Times New Roman" w:cs="Times New Roman"/>
          <w:i/>
          <w:iCs/>
          <w:szCs w:val="24"/>
          <w:lang w:eastAsia="es-CO"/>
        </w:rPr>
        <w:t>No son contribuyentes del Impuesto a la Riqueza de que trata el </w:t>
      </w:r>
      <w:hyperlink r:id="rId11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artículo 292-2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 las personas naturales y las sociedades o entidades de que tratan los artículos </w:t>
      </w:r>
      <w:hyperlink r:id="rId12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18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 </w:t>
      </w:r>
      <w:hyperlink r:id="rId13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18-1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 el numeral 1 del </w:t>
      </w:r>
      <w:hyperlink r:id="rId14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artículo 19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 xml:space="preserve">, </w:t>
      </w:r>
      <w:r w:rsidRPr="00FF5D5F">
        <w:rPr>
          <w:rFonts w:eastAsia="Times New Roman" w:cs="Times New Roman"/>
          <w:i/>
          <w:iCs/>
          <w:szCs w:val="24"/>
          <w:lang w:eastAsia="es-CO"/>
        </w:rPr>
        <w:lastRenderedPageBreak/>
        <w:t>los artículos </w:t>
      </w:r>
      <w:hyperlink r:id="rId15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22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 </w:t>
      </w:r>
      <w:hyperlink r:id="rId16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23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 </w:t>
      </w:r>
      <w:hyperlink r:id="rId17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23-1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 </w:t>
      </w:r>
      <w:hyperlink r:id="rId18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23-2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, así como las definidas en el numeral 11 del </w:t>
      </w:r>
      <w:hyperlink r:id="rId19" w:tooltip="Estatuto Tributario CETA" w:history="1">
        <w:r w:rsidRPr="00FF5D5F">
          <w:rPr>
            <w:rFonts w:eastAsia="Times New Roman" w:cs="Times New Roman"/>
            <w:i/>
            <w:iCs/>
            <w:szCs w:val="24"/>
            <w:lang w:eastAsia="es-CO"/>
          </w:rPr>
          <w:t>artículo 191</w:t>
        </w:r>
      </w:hyperlink>
      <w:r w:rsidRPr="00FF5D5F">
        <w:rPr>
          <w:rFonts w:eastAsia="Times New Roman" w:cs="Times New Roman"/>
          <w:i/>
          <w:iCs/>
          <w:szCs w:val="24"/>
          <w:lang w:eastAsia="es-CO"/>
        </w:rPr>
        <w:t> del Estatuto Tributario. Tampoco son contribuyentes del impuesto las entidades que se encuentren en liquidación, concordato, liquidación forzosa administrativa, liquidación obligatoria o que hayan suscrito acuerdo de restructuración de conformidad con lo previsto en la Ley 550 de 1999, o acuerdo de reorganización de conformidad con la Ley 1116 de 2006 y las personas naturales que se encuentren sometidas al régimen de insolvencia.”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El artículo 3º ibídem, por el cual se adiciona el </w:t>
      </w:r>
      <w:hyperlink r:id="rId20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artículo 294-2</w:t>
        </w:r>
      </w:hyperlink>
      <w:r w:rsidRPr="00FF5D5F">
        <w:rPr>
          <w:rFonts w:eastAsia="Times New Roman" w:cs="Times New Roman"/>
          <w:szCs w:val="24"/>
          <w:lang w:eastAsia="es-CO"/>
        </w:rPr>
        <w:t> al Estatuto Tributario, a su vez establece el hecho generador del impuesto a la riqueza de la siguiente manera: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“ARTÍCULO 3o.</w:t>
      </w:r>
      <w:r w:rsidRPr="00FF5D5F">
        <w:rPr>
          <w:rFonts w:eastAsia="Times New Roman" w:cs="Times New Roman"/>
          <w:szCs w:val="24"/>
          <w:lang w:eastAsia="es-CO"/>
        </w:rPr>
        <w:t> Adiciónese el </w:t>
      </w:r>
      <w:hyperlink r:id="rId21" w:tooltip="Estatuto Tributario CETA" w:history="1">
        <w:r w:rsidRPr="00FF5D5F">
          <w:rPr>
            <w:rFonts w:eastAsia="Times New Roman" w:cs="Times New Roman"/>
            <w:szCs w:val="24"/>
            <w:lang w:eastAsia="es-CO"/>
          </w:rPr>
          <w:t>artículo 294-2</w:t>
        </w:r>
      </w:hyperlink>
      <w:r w:rsidRPr="00FF5D5F">
        <w:rPr>
          <w:rFonts w:eastAsia="Times New Roman" w:cs="Times New Roman"/>
          <w:szCs w:val="24"/>
          <w:lang w:eastAsia="es-CO"/>
        </w:rPr>
        <w:t> al Estatuto Tributario el cual quedará así: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ind w:left="284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“</w:t>
      </w:r>
      <w:hyperlink r:id="rId22" w:tooltip="Estatuto Tributario CETA" w:history="1">
        <w:r w:rsidRPr="00FF5D5F">
          <w:rPr>
            <w:rFonts w:eastAsia="Times New Roman" w:cs="Times New Roman"/>
            <w:b/>
            <w:bCs/>
            <w:i/>
            <w:iCs/>
            <w:szCs w:val="24"/>
            <w:lang w:eastAsia="es-CO"/>
          </w:rPr>
          <w:t>Artículo 294-2</w:t>
        </w:r>
      </w:hyperlink>
      <w:r w:rsidRPr="00FF5D5F">
        <w:rPr>
          <w:rFonts w:eastAsia="Times New Roman" w:cs="Times New Roman"/>
          <w:b/>
          <w:bCs/>
          <w:i/>
          <w:iCs/>
          <w:szCs w:val="24"/>
          <w:lang w:eastAsia="es-CO"/>
        </w:rPr>
        <w:t>. Hecho generador.</w:t>
      </w:r>
      <w:r w:rsidRPr="00FF5D5F">
        <w:rPr>
          <w:rFonts w:eastAsia="Times New Roman" w:cs="Times New Roman"/>
          <w:i/>
          <w:iCs/>
          <w:szCs w:val="24"/>
          <w:lang w:eastAsia="es-CO"/>
        </w:rPr>
        <w:t> El Impuesto a la Riqueza se genera por la posesión de la misma al 1o de enero del año 2015, cuyo valor sea igual o superior a $1.000 millones de pesos. Para efectos de este gravamen, el concepto de riqueza es equivalente al total del patrimonio bruto del contribuyente poseído en la misma fecha menos las deudas a cargo del contribuyente vigentes en esa fecha.”.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Configurados los supuestos de hecho previstos en el artículo 3º de la Ley 1739 de 2014, una sociedad extranjera es sujeto pasivo del impuesto a la riqueza tanto respecto de la riqueza poseída directamente en el país como de la riqueza poseída indirectamente a través de sucursales o establecimientos permanentes en el país, salvo las excepciones contenidas en la ley y está obligada a declararlo y pagarlo.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Atentamente,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 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b/>
          <w:bCs/>
          <w:szCs w:val="24"/>
          <w:lang w:eastAsia="es-CO"/>
        </w:rPr>
        <w:t>YUMER YOEL AGUILAR VARGAS</w:t>
      </w:r>
    </w:p>
    <w:p w:rsidR="00FF5D5F" w:rsidRPr="00FF5D5F" w:rsidRDefault="00FF5D5F" w:rsidP="00FF5D5F">
      <w:pPr>
        <w:spacing w:after="0" w:line="240" w:lineRule="auto"/>
        <w:jc w:val="both"/>
        <w:rPr>
          <w:rFonts w:eastAsia="Times New Roman" w:cs="Times New Roman"/>
          <w:szCs w:val="24"/>
          <w:lang w:eastAsia="es-CO"/>
        </w:rPr>
      </w:pPr>
      <w:r w:rsidRPr="00FF5D5F">
        <w:rPr>
          <w:rFonts w:eastAsia="Times New Roman" w:cs="Times New Roman"/>
          <w:szCs w:val="24"/>
          <w:lang w:eastAsia="es-CO"/>
        </w:rPr>
        <w:t>Subdirector de Gestión Normativa y Doctrina</w:t>
      </w:r>
    </w:p>
    <w:p w:rsidR="00961BFA" w:rsidRPr="00FF5D5F" w:rsidRDefault="00961BFA">
      <w:pPr>
        <w:rPr>
          <w:rFonts w:cs="Times New Roman"/>
          <w:szCs w:val="24"/>
        </w:rPr>
      </w:pPr>
    </w:p>
    <w:sectPr w:rsidR="00961BFA" w:rsidRPr="00FF5D5F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F"/>
    <w:rsid w:val="0029351E"/>
    <w:rsid w:val="00892792"/>
    <w:rsid w:val="00961BFA"/>
    <w:rsid w:val="00B94BED"/>
    <w:rsid w:val="00E3651C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336DDCBD-8EE4-40E7-A121-A6DF129E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a.org.co/html/vista_de_un_articulo.asp?Norma=33802" TargetMode="External"/><Relationship Id="rId13" Type="http://schemas.openxmlformats.org/officeDocument/2006/relationships/hyperlink" Target="http://www.ceta.org.co/html/vista_de_un_articulo.asp?Norma=43" TargetMode="External"/><Relationship Id="rId18" Type="http://schemas.openxmlformats.org/officeDocument/2006/relationships/hyperlink" Target="http://www.ceta.org.co/html/vista_de_un_articulo.asp?Norma=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eta.org.co/html/vista_de_un_articulo.asp?Norma=33804" TargetMode="External"/><Relationship Id="rId7" Type="http://schemas.openxmlformats.org/officeDocument/2006/relationships/hyperlink" Target="http://www.ceta.org.co/html/vista_de_un_articulo.asp?Norma=33802" TargetMode="External"/><Relationship Id="rId12" Type="http://schemas.openxmlformats.org/officeDocument/2006/relationships/hyperlink" Target="http://www.ceta.org.co/html/vista_de_un_articulo.asp?Norma=42" TargetMode="External"/><Relationship Id="rId17" Type="http://schemas.openxmlformats.org/officeDocument/2006/relationships/hyperlink" Target="http://www.ceta.org.co/html/vista_de_un_articulo.asp?Norma=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eta.org.co/html/vista_de_un_articulo.asp?Norma=51" TargetMode="External"/><Relationship Id="rId20" Type="http://schemas.openxmlformats.org/officeDocument/2006/relationships/hyperlink" Target="http://www.ceta.org.co/html/vista_de_un_articulo.asp?Norma=3380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eta.org.co/html/vista_de_un_articulo.asp?Norma=33804" TargetMode="External"/><Relationship Id="rId11" Type="http://schemas.openxmlformats.org/officeDocument/2006/relationships/hyperlink" Target="http://www.ceta.org.co/html/vista_de_un_articulo.asp?Norma=3380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eta.org.co/html/vista_de_un_articulo.asp?Norma=33803" TargetMode="External"/><Relationship Id="rId15" Type="http://schemas.openxmlformats.org/officeDocument/2006/relationships/hyperlink" Target="http://www.ceta.org.co/html/vista_de_un_articulo.asp?Norma=5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ta.org.co/html/vista_de_un_articulo.asp?Norma=33803" TargetMode="External"/><Relationship Id="rId19" Type="http://schemas.openxmlformats.org/officeDocument/2006/relationships/hyperlink" Target="http://www.ceta.org.co/html/vista_de_un_articulo.asp?Norma=256" TargetMode="External"/><Relationship Id="rId4" Type="http://schemas.openxmlformats.org/officeDocument/2006/relationships/hyperlink" Target="http://www.ceta.org.co/html/vista_de_un_articulo.asp?Norma=33802" TargetMode="External"/><Relationship Id="rId9" Type="http://schemas.openxmlformats.org/officeDocument/2006/relationships/hyperlink" Target="http://www.ceta.org.co/html/vista_de_un_articulo.asp?Norma=33803" TargetMode="External"/><Relationship Id="rId14" Type="http://schemas.openxmlformats.org/officeDocument/2006/relationships/hyperlink" Target="http://www.ceta.org.co/html/vista_de_un_articulo.asp?Norma=44" TargetMode="External"/><Relationship Id="rId22" Type="http://schemas.openxmlformats.org/officeDocument/2006/relationships/hyperlink" Target="http://www.ceta.org.co/html/vista_de_un_articulo.asp?Norma=338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2015-05-24T16:45:00Z</dcterms:created>
  <dcterms:modified xsi:type="dcterms:W3CDTF">2015-05-24T20:54:00Z</dcterms:modified>
</cp:coreProperties>
</file>